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32" w:rsidRDefault="00044758">
      <w:pPr>
        <w:rPr>
          <w:b/>
          <w:bCs/>
        </w:rPr>
      </w:pPr>
      <w:r>
        <w:rPr>
          <w:rFonts w:eastAsia="方正黑体简体"/>
          <w:sz w:val="32"/>
          <w:szCs w:val="32"/>
        </w:rPr>
        <w:t>附件</w:t>
      </w:r>
      <w:r>
        <w:rPr>
          <w:rFonts w:eastAsia="方正黑体简体"/>
          <w:sz w:val="32"/>
          <w:szCs w:val="32"/>
        </w:rPr>
        <w:t>4</w:t>
      </w:r>
    </w:p>
    <w:p w:rsidR="000E5432" w:rsidRDefault="00044758">
      <w:pPr>
        <w:tabs>
          <w:tab w:val="left" w:pos="1496"/>
        </w:tabs>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青神县</w:t>
      </w:r>
      <w:r>
        <w:rPr>
          <w:rFonts w:ascii="方正小标宋简体" w:eastAsia="方正小标宋简体" w:hAnsi="方正小标宋简体" w:cs="方正小标宋简体" w:hint="eastAsia"/>
          <w:sz w:val="44"/>
          <w:szCs w:val="44"/>
        </w:rPr>
        <w:t>教育</w:t>
      </w:r>
      <w:r>
        <w:rPr>
          <w:rFonts w:ascii="方正小标宋简体" w:eastAsia="方正小标宋简体" w:hAnsi="方正小标宋简体" w:cs="方正小标宋简体" w:hint="eastAsia"/>
          <w:sz w:val="44"/>
          <w:szCs w:val="44"/>
        </w:rPr>
        <w:t>人才引进政策</w:t>
      </w:r>
    </w:p>
    <w:p w:rsidR="000E5432" w:rsidRDefault="000E5432">
      <w:pPr>
        <w:tabs>
          <w:tab w:val="left" w:pos="1496"/>
        </w:tabs>
        <w:spacing w:line="580" w:lineRule="exact"/>
        <w:jc w:val="center"/>
        <w:rPr>
          <w:rFonts w:ascii="方正小标宋简体" w:eastAsia="方正小标宋简体" w:hAnsi="方正小标宋简体" w:cs="方正小标宋简体"/>
          <w:sz w:val="44"/>
          <w:szCs w:val="44"/>
        </w:rPr>
      </w:pPr>
    </w:p>
    <w:p w:rsidR="000E5432" w:rsidRDefault="00044758" w:rsidP="00453E05">
      <w:pPr>
        <w:numPr>
          <w:ilvl w:val="0"/>
          <w:numId w:val="1"/>
        </w:numPr>
        <w:tabs>
          <w:tab w:val="left" w:pos="1496"/>
        </w:tabs>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人才待遇</w:t>
      </w:r>
    </w:p>
    <w:p w:rsidR="000E5432" w:rsidRDefault="00044758" w:rsidP="00453E05">
      <w:pPr>
        <w:tabs>
          <w:tab w:val="left" w:pos="1496"/>
        </w:tabs>
        <w:spacing w:line="600" w:lineRule="exact"/>
        <w:ind w:firstLineChars="200" w:firstLine="640"/>
        <w:rPr>
          <w:rFonts w:eastAsia="仿宋_GB2312"/>
          <w:sz w:val="32"/>
          <w:szCs w:val="32"/>
        </w:rPr>
      </w:pPr>
      <w:r>
        <w:rPr>
          <w:rFonts w:eastAsia="仿宋_GB2312"/>
          <w:sz w:val="32"/>
          <w:szCs w:val="32"/>
        </w:rPr>
        <w:t>首次在我县</w:t>
      </w:r>
      <w:r>
        <w:rPr>
          <w:rFonts w:eastAsia="仿宋_GB2312"/>
          <w:sz w:val="32"/>
          <w:szCs w:val="32"/>
        </w:rPr>
        <w:t>就职且</w:t>
      </w:r>
      <w:r>
        <w:rPr>
          <w:rFonts w:eastAsia="仿宋_GB2312"/>
          <w:sz w:val="32"/>
          <w:szCs w:val="32"/>
        </w:rPr>
        <w:t>具有全日制</w:t>
      </w:r>
      <w:r>
        <w:rPr>
          <w:rFonts w:eastAsia="仿宋_GB2312"/>
          <w:sz w:val="32"/>
          <w:szCs w:val="32"/>
        </w:rPr>
        <w:t>硕士研究生学位的人才，与用人单位签订连续</w:t>
      </w:r>
      <w:r>
        <w:rPr>
          <w:rFonts w:eastAsia="仿宋_GB2312"/>
          <w:sz w:val="32"/>
          <w:szCs w:val="32"/>
        </w:rPr>
        <w:t>5</w:t>
      </w:r>
      <w:r>
        <w:rPr>
          <w:rFonts w:eastAsia="仿宋_GB2312"/>
          <w:sz w:val="32"/>
          <w:szCs w:val="32"/>
        </w:rPr>
        <w:t>年及以上劳动合同，给予一次性安家补助</w:t>
      </w:r>
      <w:r>
        <w:rPr>
          <w:rFonts w:eastAsia="仿宋_GB2312"/>
          <w:sz w:val="32"/>
          <w:szCs w:val="32"/>
        </w:rPr>
        <w:t>5</w:t>
      </w:r>
      <w:r>
        <w:rPr>
          <w:rFonts w:eastAsia="仿宋_GB2312"/>
          <w:sz w:val="32"/>
          <w:szCs w:val="32"/>
        </w:rPr>
        <w:t>万元，</w:t>
      </w:r>
      <w:r>
        <w:rPr>
          <w:rFonts w:eastAsia="仿宋_GB2312"/>
          <w:sz w:val="32"/>
          <w:szCs w:val="32"/>
        </w:rPr>
        <w:t>生活补助</w:t>
      </w:r>
      <w:r>
        <w:rPr>
          <w:rFonts w:eastAsia="仿宋_GB2312"/>
          <w:sz w:val="32"/>
          <w:szCs w:val="32"/>
        </w:rPr>
        <w:t>5</w:t>
      </w:r>
      <w:r>
        <w:rPr>
          <w:rFonts w:eastAsia="仿宋_GB2312"/>
          <w:sz w:val="32"/>
          <w:szCs w:val="32"/>
        </w:rPr>
        <w:t>万元。</w:t>
      </w:r>
    </w:p>
    <w:p w:rsidR="000E5432" w:rsidRDefault="00044758" w:rsidP="00453E05">
      <w:pPr>
        <w:tabs>
          <w:tab w:val="left" w:pos="1496"/>
        </w:tabs>
        <w:spacing w:line="600" w:lineRule="exact"/>
        <w:ind w:firstLineChars="200" w:firstLine="640"/>
        <w:rPr>
          <w:rFonts w:eastAsia="仿宋_GB2312"/>
          <w:sz w:val="32"/>
          <w:szCs w:val="32"/>
        </w:rPr>
      </w:pPr>
      <w:r>
        <w:rPr>
          <w:rFonts w:ascii="黑体" w:eastAsia="黑体" w:hAnsi="黑体" w:cs="黑体" w:hint="eastAsia"/>
          <w:sz w:val="32"/>
          <w:szCs w:val="32"/>
        </w:rPr>
        <w:t>二</w:t>
      </w:r>
      <w:r>
        <w:rPr>
          <w:rFonts w:ascii="黑体" w:eastAsia="黑体" w:hAnsi="黑体" w:cs="黑体" w:hint="eastAsia"/>
          <w:sz w:val="32"/>
          <w:szCs w:val="32"/>
        </w:rPr>
        <w:t>、人才公寓</w:t>
      </w:r>
    </w:p>
    <w:p w:rsidR="000E5432" w:rsidRDefault="00044758" w:rsidP="00453E05">
      <w:pPr>
        <w:tabs>
          <w:tab w:val="left" w:pos="1496"/>
        </w:tabs>
        <w:spacing w:line="600" w:lineRule="exact"/>
        <w:ind w:firstLineChars="200" w:firstLine="640"/>
        <w:rPr>
          <w:rFonts w:eastAsia="仿宋_GB2312"/>
          <w:sz w:val="32"/>
          <w:szCs w:val="32"/>
        </w:rPr>
      </w:pPr>
      <w:r>
        <w:rPr>
          <w:rFonts w:eastAsia="仿宋_GB2312"/>
          <w:sz w:val="32"/>
          <w:szCs w:val="32"/>
        </w:rPr>
        <w:t>在青工作期间，免费入住人才公寓</w:t>
      </w:r>
      <w:r>
        <w:rPr>
          <w:rFonts w:eastAsia="仿宋_GB2312"/>
          <w:sz w:val="32"/>
          <w:szCs w:val="32"/>
        </w:rPr>
        <w:t>5</w:t>
      </w:r>
      <w:r>
        <w:rPr>
          <w:rFonts w:eastAsia="仿宋_GB2312"/>
          <w:sz w:val="32"/>
          <w:szCs w:val="32"/>
        </w:rPr>
        <w:t>年。</w:t>
      </w:r>
    </w:p>
    <w:p w:rsidR="000E5432" w:rsidRDefault="00044758" w:rsidP="00453E05">
      <w:pPr>
        <w:tabs>
          <w:tab w:val="left" w:pos="1496"/>
        </w:tabs>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hint="eastAsia"/>
          <w:sz w:val="32"/>
          <w:szCs w:val="32"/>
        </w:rPr>
        <w:t>人才发展</w:t>
      </w:r>
      <w:bookmarkStart w:id="0" w:name="_GoBack"/>
      <w:bookmarkEnd w:id="0"/>
    </w:p>
    <w:p w:rsidR="000E5432" w:rsidRDefault="00044758" w:rsidP="00453E05">
      <w:pPr>
        <w:tabs>
          <w:tab w:val="left" w:pos="1551"/>
        </w:tabs>
        <w:overflowPunct w:val="0"/>
        <w:autoSpaceDE w:val="0"/>
        <w:spacing w:line="600" w:lineRule="exact"/>
        <w:ind w:firstLineChars="200" w:firstLine="640"/>
        <w:rPr>
          <w:rFonts w:eastAsia="仿宋_GB2312"/>
          <w:sz w:val="32"/>
          <w:szCs w:val="32"/>
        </w:rPr>
      </w:pPr>
      <w:r>
        <w:rPr>
          <w:rFonts w:eastAsia="仿宋_GB2312"/>
          <w:sz w:val="32"/>
          <w:szCs w:val="32"/>
        </w:rPr>
        <w:t>符合任职条件的，不受职称、岗位结构比例限制晋升专业技术职称，并聘用至相应专业技术岗位。</w:t>
      </w:r>
    </w:p>
    <w:p w:rsidR="000E5432" w:rsidRPr="00453E05" w:rsidRDefault="00453E05" w:rsidP="00453E05">
      <w:pPr>
        <w:tabs>
          <w:tab w:val="left" w:pos="1496"/>
        </w:tabs>
        <w:spacing w:line="600" w:lineRule="exact"/>
        <w:ind w:firstLineChars="200" w:firstLine="640"/>
        <w:rPr>
          <w:rFonts w:ascii="黑体" w:eastAsia="黑体" w:hAnsi="黑体" w:cs="黑体"/>
          <w:sz w:val="32"/>
          <w:szCs w:val="32"/>
        </w:rPr>
      </w:pPr>
      <w:r w:rsidRPr="00453E05">
        <w:rPr>
          <w:rFonts w:ascii="黑体" w:eastAsia="黑体" w:hAnsi="黑体" w:cs="黑体" w:hint="eastAsia"/>
          <w:sz w:val="32"/>
          <w:szCs w:val="32"/>
        </w:rPr>
        <w:t>四、</w:t>
      </w:r>
      <w:r w:rsidR="00044758" w:rsidRPr="00453E05">
        <w:rPr>
          <w:rFonts w:ascii="黑体" w:eastAsia="黑体" w:hAnsi="黑体" w:cs="黑体"/>
          <w:sz w:val="32"/>
          <w:szCs w:val="32"/>
        </w:rPr>
        <w:t>优秀人才荣誉</w:t>
      </w:r>
    </w:p>
    <w:p w:rsidR="000E5432" w:rsidRDefault="00453E05" w:rsidP="00453E05">
      <w:pPr>
        <w:pStyle w:val="a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w:t>
      </w:r>
      <w:r w:rsidR="00044758">
        <w:rPr>
          <w:rFonts w:ascii="Times New Roman" w:eastAsia="仿宋_GB2312" w:hAnsi="Times New Roman"/>
          <w:sz w:val="32"/>
          <w:szCs w:val="32"/>
        </w:rPr>
        <w:t>对受到市级以上党委政府或教育行政部门及人社部门表扬的优秀教师、师德标兵、优秀班主任（团队工作者）等，分别按国家级、省级、市级</w:t>
      </w:r>
      <w:r w:rsidR="00044758">
        <w:rPr>
          <w:rFonts w:ascii="Times New Roman" w:eastAsia="仿宋_GB2312" w:hAnsi="Times New Roman"/>
          <w:sz w:val="32"/>
          <w:szCs w:val="32"/>
        </w:rPr>
        <w:t>1</w:t>
      </w:r>
      <w:r w:rsidR="00044758">
        <w:rPr>
          <w:rFonts w:ascii="Times New Roman" w:eastAsia="仿宋_GB2312" w:hAnsi="Times New Roman"/>
          <w:sz w:val="32"/>
          <w:szCs w:val="32"/>
        </w:rPr>
        <w:t>万元</w:t>
      </w:r>
      <w:r w:rsidR="00044758">
        <w:rPr>
          <w:rFonts w:ascii="Times New Roman" w:eastAsia="仿宋_GB2312" w:hAnsi="Times New Roman"/>
          <w:sz w:val="32"/>
          <w:szCs w:val="32"/>
        </w:rPr>
        <w:t>/</w:t>
      </w:r>
      <w:r w:rsidR="00044758">
        <w:rPr>
          <w:rFonts w:ascii="Times New Roman" w:eastAsia="仿宋_GB2312" w:hAnsi="Times New Roman"/>
          <w:sz w:val="32"/>
          <w:szCs w:val="32"/>
        </w:rPr>
        <w:t>人、</w:t>
      </w:r>
      <w:r w:rsidR="00044758">
        <w:rPr>
          <w:rFonts w:ascii="Times New Roman" w:eastAsia="仿宋_GB2312" w:hAnsi="Times New Roman"/>
          <w:sz w:val="32"/>
          <w:szCs w:val="32"/>
        </w:rPr>
        <w:t>0.5</w:t>
      </w:r>
      <w:r w:rsidR="00044758">
        <w:rPr>
          <w:rFonts w:ascii="Times New Roman" w:eastAsia="仿宋_GB2312" w:hAnsi="Times New Roman"/>
          <w:sz w:val="32"/>
          <w:szCs w:val="32"/>
        </w:rPr>
        <w:t>万元</w:t>
      </w:r>
      <w:r w:rsidR="00044758">
        <w:rPr>
          <w:rFonts w:ascii="Times New Roman" w:eastAsia="仿宋_GB2312" w:hAnsi="Times New Roman"/>
          <w:sz w:val="32"/>
          <w:szCs w:val="32"/>
        </w:rPr>
        <w:t>/</w:t>
      </w:r>
      <w:r w:rsidR="00044758">
        <w:rPr>
          <w:rFonts w:ascii="Times New Roman" w:eastAsia="仿宋_GB2312" w:hAnsi="Times New Roman"/>
          <w:sz w:val="32"/>
          <w:szCs w:val="32"/>
        </w:rPr>
        <w:t>人、</w:t>
      </w:r>
      <w:r w:rsidR="00044758">
        <w:rPr>
          <w:rFonts w:ascii="Times New Roman" w:eastAsia="仿宋_GB2312" w:hAnsi="Times New Roman"/>
          <w:sz w:val="32"/>
          <w:szCs w:val="32"/>
        </w:rPr>
        <w:t>0.2</w:t>
      </w:r>
      <w:r w:rsidR="00044758">
        <w:rPr>
          <w:rFonts w:ascii="Times New Roman" w:eastAsia="仿宋_GB2312" w:hAnsi="Times New Roman"/>
          <w:sz w:val="32"/>
          <w:szCs w:val="32"/>
        </w:rPr>
        <w:t>万元</w:t>
      </w:r>
      <w:r w:rsidR="00044758">
        <w:rPr>
          <w:rFonts w:ascii="Times New Roman" w:eastAsia="仿宋_GB2312" w:hAnsi="Times New Roman"/>
          <w:sz w:val="32"/>
          <w:szCs w:val="32"/>
        </w:rPr>
        <w:t>/</w:t>
      </w:r>
      <w:r w:rsidR="00044758">
        <w:rPr>
          <w:rFonts w:ascii="Times New Roman" w:eastAsia="仿宋_GB2312" w:hAnsi="Times New Roman"/>
          <w:sz w:val="32"/>
          <w:szCs w:val="32"/>
        </w:rPr>
        <w:t>人标准给予一次性奖励。</w:t>
      </w:r>
    </w:p>
    <w:p w:rsidR="000E5432" w:rsidRDefault="00453E05" w:rsidP="00453E05">
      <w:pPr>
        <w:pStyle w:val="a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sidR="00044758">
        <w:rPr>
          <w:rFonts w:ascii="Times New Roman" w:eastAsia="仿宋_GB2312" w:hAnsi="Times New Roman"/>
          <w:sz w:val="32"/>
          <w:szCs w:val="32"/>
        </w:rPr>
        <w:t>对青神教体系统内在编在岗的省级以上名教师、名校长经考核合格的，按</w:t>
      </w:r>
      <w:r w:rsidR="00044758">
        <w:rPr>
          <w:rFonts w:ascii="Times New Roman" w:eastAsia="仿宋_GB2312" w:hAnsi="Times New Roman"/>
          <w:sz w:val="32"/>
          <w:szCs w:val="32"/>
        </w:rPr>
        <w:t>2.4</w:t>
      </w:r>
      <w:r w:rsidR="00044758">
        <w:rPr>
          <w:rFonts w:ascii="Times New Roman" w:eastAsia="仿宋_GB2312" w:hAnsi="Times New Roman"/>
          <w:sz w:val="32"/>
          <w:szCs w:val="32"/>
        </w:rPr>
        <w:t>万元</w:t>
      </w:r>
      <w:r w:rsidR="00044758">
        <w:rPr>
          <w:rFonts w:ascii="Times New Roman" w:eastAsia="仿宋_GB2312" w:hAnsi="Times New Roman"/>
          <w:sz w:val="32"/>
          <w:szCs w:val="32"/>
        </w:rPr>
        <w:t>/</w:t>
      </w:r>
      <w:r w:rsidR="00044758">
        <w:rPr>
          <w:rFonts w:ascii="Times New Roman" w:eastAsia="仿宋_GB2312" w:hAnsi="Times New Roman"/>
          <w:sz w:val="32"/>
          <w:szCs w:val="32"/>
        </w:rPr>
        <w:t>人</w:t>
      </w:r>
      <w:r w:rsidR="00044758">
        <w:rPr>
          <w:rFonts w:ascii="Times New Roman" w:eastAsia="仿宋_GB2312" w:hAnsi="Times New Roman"/>
          <w:sz w:val="32"/>
          <w:szCs w:val="32"/>
        </w:rPr>
        <w:t>·</w:t>
      </w:r>
      <w:r w:rsidR="00044758">
        <w:rPr>
          <w:rFonts w:ascii="Times New Roman" w:eastAsia="仿宋_GB2312" w:hAnsi="Times New Roman"/>
          <w:sz w:val="32"/>
          <w:szCs w:val="32"/>
        </w:rPr>
        <w:t>年发放人才津贴。市级名教师、名校长经考核合格的，按</w:t>
      </w:r>
      <w:r w:rsidR="00044758">
        <w:rPr>
          <w:rFonts w:ascii="Times New Roman" w:eastAsia="仿宋_GB2312" w:hAnsi="Times New Roman"/>
          <w:sz w:val="32"/>
          <w:szCs w:val="32"/>
        </w:rPr>
        <w:t>1.2</w:t>
      </w:r>
      <w:r w:rsidR="00044758">
        <w:rPr>
          <w:rFonts w:ascii="Times New Roman" w:eastAsia="仿宋_GB2312" w:hAnsi="Times New Roman"/>
          <w:sz w:val="32"/>
          <w:szCs w:val="32"/>
        </w:rPr>
        <w:t>万元</w:t>
      </w:r>
      <w:r w:rsidR="00044758">
        <w:rPr>
          <w:rFonts w:ascii="Times New Roman" w:eastAsia="仿宋_GB2312" w:hAnsi="Times New Roman"/>
          <w:sz w:val="32"/>
          <w:szCs w:val="32"/>
        </w:rPr>
        <w:t>/</w:t>
      </w:r>
      <w:r w:rsidR="00044758">
        <w:rPr>
          <w:rFonts w:ascii="Times New Roman" w:eastAsia="仿宋_GB2312" w:hAnsi="Times New Roman"/>
          <w:sz w:val="32"/>
          <w:szCs w:val="32"/>
        </w:rPr>
        <w:t>人</w:t>
      </w:r>
      <w:r w:rsidR="00044758">
        <w:rPr>
          <w:rFonts w:ascii="Times New Roman" w:eastAsia="仿宋_GB2312" w:hAnsi="Times New Roman"/>
          <w:sz w:val="32"/>
          <w:szCs w:val="32"/>
        </w:rPr>
        <w:t>·</w:t>
      </w:r>
      <w:r w:rsidR="00044758">
        <w:rPr>
          <w:rFonts w:ascii="Times New Roman" w:eastAsia="仿宋_GB2312" w:hAnsi="Times New Roman"/>
          <w:sz w:val="32"/>
          <w:szCs w:val="32"/>
        </w:rPr>
        <w:t>年发放人才津贴。任期内</w:t>
      </w:r>
      <w:r w:rsidR="00044758">
        <w:rPr>
          <w:rFonts w:ascii="Times New Roman" w:eastAsia="仿宋_GB2312" w:hAnsi="Times New Roman"/>
          <w:sz w:val="32"/>
          <w:szCs w:val="32"/>
        </w:rPr>
        <w:lastRenderedPageBreak/>
        <w:t>的县级名教师、名校长经考核合格的，按</w:t>
      </w:r>
      <w:r w:rsidR="00044758">
        <w:rPr>
          <w:rFonts w:ascii="Times New Roman" w:eastAsia="仿宋_GB2312" w:hAnsi="Times New Roman"/>
          <w:sz w:val="32"/>
          <w:szCs w:val="32"/>
        </w:rPr>
        <w:t>0.6</w:t>
      </w:r>
      <w:r w:rsidR="00044758">
        <w:rPr>
          <w:rFonts w:ascii="Times New Roman" w:eastAsia="仿宋_GB2312" w:hAnsi="Times New Roman"/>
          <w:sz w:val="32"/>
          <w:szCs w:val="32"/>
        </w:rPr>
        <w:t>万元</w:t>
      </w:r>
      <w:r w:rsidR="00044758">
        <w:rPr>
          <w:rFonts w:ascii="Times New Roman" w:eastAsia="仿宋_GB2312" w:hAnsi="Times New Roman"/>
          <w:sz w:val="32"/>
          <w:szCs w:val="32"/>
        </w:rPr>
        <w:t>/</w:t>
      </w:r>
      <w:r w:rsidR="00044758">
        <w:rPr>
          <w:rFonts w:ascii="Times New Roman" w:eastAsia="仿宋_GB2312" w:hAnsi="Times New Roman"/>
          <w:sz w:val="32"/>
          <w:szCs w:val="32"/>
        </w:rPr>
        <w:t>人</w:t>
      </w:r>
      <w:r w:rsidR="00044758">
        <w:rPr>
          <w:rFonts w:ascii="Times New Roman" w:eastAsia="仿宋_GB2312" w:hAnsi="Times New Roman"/>
          <w:sz w:val="32"/>
          <w:szCs w:val="32"/>
        </w:rPr>
        <w:t>·</w:t>
      </w:r>
      <w:r w:rsidR="00044758">
        <w:rPr>
          <w:rFonts w:ascii="Times New Roman" w:eastAsia="仿宋_GB2312" w:hAnsi="Times New Roman"/>
          <w:sz w:val="32"/>
          <w:szCs w:val="32"/>
        </w:rPr>
        <w:t>年发放人才津贴。</w:t>
      </w:r>
    </w:p>
    <w:p w:rsidR="000E5432" w:rsidRDefault="00453E05" w:rsidP="00453E05">
      <w:pPr>
        <w:pStyle w:val="a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sidR="00044758">
        <w:rPr>
          <w:rFonts w:ascii="Times New Roman" w:eastAsia="仿宋_GB2312" w:hAnsi="Times New Roman"/>
          <w:sz w:val="32"/>
          <w:szCs w:val="32"/>
        </w:rPr>
        <w:t>聘期内的省、市、县骨干教师经考核合格，分别按</w:t>
      </w:r>
      <w:r w:rsidR="00044758">
        <w:rPr>
          <w:rFonts w:ascii="Times New Roman" w:eastAsia="仿宋_GB2312" w:hAnsi="Times New Roman"/>
          <w:sz w:val="32"/>
          <w:szCs w:val="32"/>
        </w:rPr>
        <w:t>0.72</w:t>
      </w:r>
      <w:r w:rsidR="00044758">
        <w:rPr>
          <w:rFonts w:ascii="Times New Roman" w:eastAsia="仿宋_GB2312" w:hAnsi="Times New Roman"/>
          <w:sz w:val="32"/>
          <w:szCs w:val="32"/>
        </w:rPr>
        <w:t>万元</w:t>
      </w:r>
      <w:r w:rsidR="00044758">
        <w:rPr>
          <w:rFonts w:ascii="Times New Roman" w:eastAsia="仿宋_GB2312" w:hAnsi="Times New Roman"/>
          <w:sz w:val="32"/>
          <w:szCs w:val="32"/>
        </w:rPr>
        <w:t>/</w:t>
      </w:r>
      <w:r w:rsidR="00044758">
        <w:rPr>
          <w:rFonts w:ascii="Times New Roman" w:eastAsia="仿宋_GB2312" w:hAnsi="Times New Roman"/>
          <w:sz w:val="32"/>
          <w:szCs w:val="32"/>
        </w:rPr>
        <w:t>人</w:t>
      </w:r>
      <w:r w:rsidR="00044758">
        <w:rPr>
          <w:rFonts w:ascii="Times New Roman" w:eastAsia="仿宋_GB2312" w:hAnsi="Times New Roman"/>
          <w:sz w:val="32"/>
          <w:szCs w:val="32"/>
        </w:rPr>
        <w:t>·</w:t>
      </w:r>
      <w:r w:rsidR="00044758">
        <w:rPr>
          <w:rFonts w:ascii="Times New Roman" w:eastAsia="仿宋_GB2312" w:hAnsi="Times New Roman"/>
          <w:sz w:val="32"/>
          <w:szCs w:val="32"/>
        </w:rPr>
        <w:t>年、</w:t>
      </w:r>
      <w:r w:rsidR="00044758">
        <w:rPr>
          <w:rFonts w:ascii="Times New Roman" w:eastAsia="仿宋_GB2312" w:hAnsi="Times New Roman"/>
          <w:sz w:val="32"/>
          <w:szCs w:val="32"/>
        </w:rPr>
        <w:t>0.36</w:t>
      </w:r>
      <w:r w:rsidR="00044758">
        <w:rPr>
          <w:rFonts w:ascii="Times New Roman" w:eastAsia="仿宋_GB2312" w:hAnsi="Times New Roman"/>
          <w:sz w:val="32"/>
          <w:szCs w:val="32"/>
        </w:rPr>
        <w:t>万元</w:t>
      </w:r>
      <w:r w:rsidR="00044758">
        <w:rPr>
          <w:rFonts w:ascii="Times New Roman" w:eastAsia="仿宋_GB2312" w:hAnsi="Times New Roman"/>
          <w:sz w:val="32"/>
          <w:szCs w:val="32"/>
        </w:rPr>
        <w:t>/</w:t>
      </w:r>
      <w:r w:rsidR="00044758">
        <w:rPr>
          <w:rFonts w:ascii="Times New Roman" w:eastAsia="仿宋_GB2312" w:hAnsi="Times New Roman"/>
          <w:sz w:val="32"/>
          <w:szCs w:val="32"/>
        </w:rPr>
        <w:t>人</w:t>
      </w:r>
      <w:r w:rsidR="00044758">
        <w:rPr>
          <w:rFonts w:ascii="Times New Roman" w:eastAsia="仿宋_GB2312" w:hAnsi="Times New Roman"/>
          <w:sz w:val="32"/>
          <w:szCs w:val="32"/>
        </w:rPr>
        <w:t>·</w:t>
      </w:r>
      <w:r w:rsidR="00044758">
        <w:rPr>
          <w:rFonts w:ascii="Times New Roman" w:eastAsia="仿宋_GB2312" w:hAnsi="Times New Roman"/>
          <w:sz w:val="32"/>
          <w:szCs w:val="32"/>
        </w:rPr>
        <w:t>年、</w:t>
      </w:r>
      <w:r w:rsidR="00044758">
        <w:rPr>
          <w:rFonts w:ascii="Times New Roman" w:eastAsia="仿宋_GB2312" w:hAnsi="Times New Roman"/>
          <w:sz w:val="32"/>
          <w:szCs w:val="32"/>
        </w:rPr>
        <w:t>0.24</w:t>
      </w:r>
      <w:r w:rsidR="00044758">
        <w:rPr>
          <w:rFonts w:ascii="Times New Roman" w:eastAsia="仿宋_GB2312" w:hAnsi="Times New Roman"/>
          <w:sz w:val="32"/>
          <w:szCs w:val="32"/>
        </w:rPr>
        <w:t>万元</w:t>
      </w:r>
      <w:r w:rsidR="00044758">
        <w:rPr>
          <w:rFonts w:ascii="Times New Roman" w:eastAsia="仿宋_GB2312" w:hAnsi="Times New Roman"/>
          <w:sz w:val="32"/>
          <w:szCs w:val="32"/>
        </w:rPr>
        <w:t>/</w:t>
      </w:r>
      <w:r w:rsidR="00044758">
        <w:rPr>
          <w:rFonts w:ascii="Times New Roman" w:eastAsia="仿宋_GB2312" w:hAnsi="Times New Roman"/>
          <w:sz w:val="32"/>
          <w:szCs w:val="32"/>
        </w:rPr>
        <w:t>人</w:t>
      </w:r>
      <w:r w:rsidR="00044758">
        <w:rPr>
          <w:rFonts w:ascii="Times New Roman" w:eastAsia="仿宋_GB2312" w:hAnsi="Times New Roman"/>
          <w:sz w:val="32"/>
          <w:szCs w:val="32"/>
        </w:rPr>
        <w:t>·</w:t>
      </w:r>
      <w:r w:rsidR="00044758">
        <w:rPr>
          <w:rFonts w:ascii="Times New Roman" w:eastAsia="仿宋_GB2312" w:hAnsi="Times New Roman"/>
          <w:sz w:val="32"/>
          <w:szCs w:val="32"/>
        </w:rPr>
        <w:t>年发放人才津贴。</w:t>
      </w:r>
    </w:p>
    <w:sectPr w:rsidR="000E5432" w:rsidSect="000E5432">
      <w:headerReference w:type="default" r:id="rId7"/>
      <w:footerReference w:type="default" r:id="rId8"/>
      <w:pgSz w:w="11906" w:h="16838"/>
      <w:pgMar w:top="2098" w:right="1474" w:bottom="1928" w:left="1588" w:header="851" w:footer="170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758" w:rsidRDefault="00044758" w:rsidP="000E5432">
      <w:r>
        <w:separator/>
      </w:r>
    </w:p>
  </w:endnote>
  <w:endnote w:type="continuationSeparator" w:id="0">
    <w:p w:rsidR="00044758" w:rsidRDefault="00044758" w:rsidP="000E5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32" w:rsidRDefault="00044758">
    <w:pPr>
      <w:pStyle w:val="a4"/>
      <w:framePr w:wrap="around" w:vAnchor="text" w:hAnchor="margin" w:xAlign="outside" w:y="1"/>
      <w:ind w:leftChars="150" w:left="315" w:rightChars="150" w:right="315"/>
      <w:rPr>
        <w:rStyle w:val="a6"/>
        <w:rFonts w:ascii="宋体"/>
        <w:sz w:val="28"/>
        <w:szCs w:val="28"/>
      </w:rPr>
    </w:pPr>
    <w:r>
      <w:rPr>
        <w:rStyle w:val="a6"/>
        <w:rFonts w:ascii="宋体" w:hint="eastAsia"/>
        <w:sz w:val="28"/>
        <w:szCs w:val="28"/>
      </w:rPr>
      <w:t>—</w:t>
    </w:r>
    <w:r>
      <w:rPr>
        <w:rStyle w:val="a6"/>
        <w:rFonts w:ascii="宋体" w:hint="eastAsia"/>
        <w:sz w:val="28"/>
        <w:szCs w:val="28"/>
      </w:rPr>
      <w:t xml:space="preserve"> </w:t>
    </w:r>
    <w:r w:rsidR="000E5432">
      <w:rPr>
        <w:rFonts w:ascii="宋体" w:hint="eastAsia"/>
        <w:sz w:val="28"/>
        <w:szCs w:val="28"/>
      </w:rPr>
      <w:fldChar w:fldCharType="begin"/>
    </w:r>
    <w:r>
      <w:rPr>
        <w:rStyle w:val="a6"/>
        <w:rFonts w:ascii="宋体" w:hint="eastAsia"/>
        <w:sz w:val="28"/>
        <w:szCs w:val="28"/>
      </w:rPr>
      <w:instrText xml:space="preserve">PAGE  </w:instrText>
    </w:r>
    <w:r w:rsidR="000E5432">
      <w:rPr>
        <w:rFonts w:ascii="宋体" w:hint="eastAsia"/>
        <w:sz w:val="28"/>
        <w:szCs w:val="28"/>
      </w:rPr>
      <w:fldChar w:fldCharType="separate"/>
    </w:r>
    <w:r w:rsidR="00453E05">
      <w:rPr>
        <w:rStyle w:val="a6"/>
        <w:rFonts w:ascii="宋体"/>
        <w:noProof/>
        <w:sz w:val="28"/>
        <w:szCs w:val="28"/>
      </w:rPr>
      <w:t>2</w:t>
    </w:r>
    <w:r w:rsidR="000E5432">
      <w:rPr>
        <w:rFonts w:ascii="宋体" w:hint="eastAsia"/>
        <w:sz w:val="28"/>
        <w:szCs w:val="28"/>
      </w:rPr>
      <w:fldChar w:fldCharType="end"/>
    </w:r>
    <w:r>
      <w:rPr>
        <w:rStyle w:val="a6"/>
        <w:rFonts w:ascii="宋体" w:hint="eastAsia"/>
        <w:sz w:val="28"/>
        <w:szCs w:val="28"/>
      </w:rPr>
      <w:t xml:space="preserve"> </w:t>
    </w:r>
    <w:r>
      <w:rPr>
        <w:rStyle w:val="a6"/>
        <w:rFonts w:ascii="宋体" w:hint="eastAsia"/>
        <w:sz w:val="28"/>
        <w:szCs w:val="28"/>
      </w:rPr>
      <w:t>—</w:t>
    </w:r>
  </w:p>
  <w:p w:rsidR="000E5432" w:rsidRDefault="000E543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758" w:rsidRDefault="00044758" w:rsidP="000E5432">
      <w:r>
        <w:separator/>
      </w:r>
    </w:p>
  </w:footnote>
  <w:footnote w:type="continuationSeparator" w:id="0">
    <w:p w:rsidR="00044758" w:rsidRDefault="00044758" w:rsidP="000E5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32" w:rsidRDefault="000E543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49F77"/>
    <w:multiLevelType w:val="singleLevel"/>
    <w:tmpl w:val="20149F77"/>
    <w:lvl w:ilvl="0">
      <w:start w:val="1"/>
      <w:numFmt w:val="chineseCounting"/>
      <w:suff w:val="nothing"/>
      <w:lvlText w:val="%1、"/>
      <w:lvlJc w:val="left"/>
      <w:rPr>
        <w:rFonts w:hint="eastAsia"/>
      </w:rPr>
    </w:lvl>
  </w:abstractNum>
  <w:abstractNum w:abstractNumId="1">
    <w:nsid w:val="29F7DFD6"/>
    <w:multiLevelType w:val="singleLevel"/>
    <w:tmpl w:val="29F7DFD6"/>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WI4ZGUzMzliY2ExZWNiZDMxY2IzYmYyY2JhNDUwZGEifQ=="/>
  </w:docVars>
  <w:rsids>
    <w:rsidRoot w:val="4C3D4DAD"/>
    <w:rsid w:val="00044758"/>
    <w:rsid w:val="000E5432"/>
    <w:rsid w:val="001E68EB"/>
    <w:rsid w:val="0020345E"/>
    <w:rsid w:val="002A13B6"/>
    <w:rsid w:val="00453E05"/>
    <w:rsid w:val="009B5883"/>
    <w:rsid w:val="00BA1A33"/>
    <w:rsid w:val="00C217ED"/>
    <w:rsid w:val="03CF5817"/>
    <w:rsid w:val="0B9E7266"/>
    <w:rsid w:val="0D3A01A5"/>
    <w:rsid w:val="139F5206"/>
    <w:rsid w:val="17002B39"/>
    <w:rsid w:val="17C92852"/>
    <w:rsid w:val="1C7C38F8"/>
    <w:rsid w:val="1D8C44DA"/>
    <w:rsid w:val="1D9A07EC"/>
    <w:rsid w:val="1E866FC9"/>
    <w:rsid w:val="1EF65EF6"/>
    <w:rsid w:val="1F002D68"/>
    <w:rsid w:val="1F7E2174"/>
    <w:rsid w:val="21543187"/>
    <w:rsid w:val="2273398F"/>
    <w:rsid w:val="24B148C0"/>
    <w:rsid w:val="266F0A68"/>
    <w:rsid w:val="26A61FB0"/>
    <w:rsid w:val="29DF5F05"/>
    <w:rsid w:val="2A2E0C3A"/>
    <w:rsid w:val="2BF2531E"/>
    <w:rsid w:val="2DD90EBD"/>
    <w:rsid w:val="2EF75A9F"/>
    <w:rsid w:val="31CA1248"/>
    <w:rsid w:val="31FC33CC"/>
    <w:rsid w:val="33A45AC9"/>
    <w:rsid w:val="356B4AF0"/>
    <w:rsid w:val="39DC5FBD"/>
    <w:rsid w:val="3BD038FF"/>
    <w:rsid w:val="3C2968C4"/>
    <w:rsid w:val="3CFB34F3"/>
    <w:rsid w:val="3E6B5B61"/>
    <w:rsid w:val="405B4C1D"/>
    <w:rsid w:val="40A80311"/>
    <w:rsid w:val="42CC13F6"/>
    <w:rsid w:val="437159C8"/>
    <w:rsid w:val="478D3B18"/>
    <w:rsid w:val="48B87BF5"/>
    <w:rsid w:val="4B5736F5"/>
    <w:rsid w:val="4BB01057"/>
    <w:rsid w:val="4C0D0258"/>
    <w:rsid w:val="4C3D4DAD"/>
    <w:rsid w:val="4F602D94"/>
    <w:rsid w:val="508F5C63"/>
    <w:rsid w:val="51C07B1A"/>
    <w:rsid w:val="56EA1935"/>
    <w:rsid w:val="5955110A"/>
    <w:rsid w:val="59A87812"/>
    <w:rsid w:val="5CE70651"/>
    <w:rsid w:val="5E671A49"/>
    <w:rsid w:val="5EFE6DAD"/>
    <w:rsid w:val="60D4713E"/>
    <w:rsid w:val="62B114E5"/>
    <w:rsid w:val="634B19A1"/>
    <w:rsid w:val="66DA3D20"/>
    <w:rsid w:val="691C1682"/>
    <w:rsid w:val="6D2423DB"/>
    <w:rsid w:val="6D464F20"/>
    <w:rsid w:val="6F3A0AB4"/>
    <w:rsid w:val="70CE7706"/>
    <w:rsid w:val="718D2DE0"/>
    <w:rsid w:val="768C22CC"/>
    <w:rsid w:val="789B0816"/>
    <w:rsid w:val="78E84557"/>
    <w:rsid w:val="7A6227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E5432"/>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sid w:val="000E5432"/>
    <w:rPr>
      <w:rFonts w:ascii="宋体" w:hAnsi="Courier New"/>
      <w:sz w:val="28"/>
      <w:szCs w:val="20"/>
    </w:rPr>
  </w:style>
  <w:style w:type="paragraph" w:styleId="a4">
    <w:name w:val="footer"/>
    <w:basedOn w:val="a"/>
    <w:uiPriority w:val="99"/>
    <w:qFormat/>
    <w:rsid w:val="000E5432"/>
    <w:pPr>
      <w:tabs>
        <w:tab w:val="center" w:pos="4153"/>
        <w:tab w:val="right" w:pos="8306"/>
      </w:tabs>
      <w:snapToGrid w:val="0"/>
      <w:jc w:val="left"/>
    </w:pPr>
    <w:rPr>
      <w:sz w:val="18"/>
      <w:szCs w:val="18"/>
    </w:rPr>
  </w:style>
  <w:style w:type="paragraph" w:styleId="a5">
    <w:name w:val="header"/>
    <w:basedOn w:val="a"/>
    <w:uiPriority w:val="99"/>
    <w:qFormat/>
    <w:rsid w:val="000E5432"/>
    <w:pPr>
      <w:pBdr>
        <w:bottom w:val="single" w:sz="6" w:space="1" w:color="auto"/>
      </w:pBdr>
      <w:tabs>
        <w:tab w:val="center" w:pos="4153"/>
        <w:tab w:val="right" w:pos="8306"/>
      </w:tabs>
      <w:snapToGrid w:val="0"/>
      <w:jc w:val="center"/>
    </w:pPr>
    <w:rPr>
      <w:sz w:val="18"/>
      <w:szCs w:val="18"/>
    </w:rPr>
  </w:style>
  <w:style w:type="character" w:styleId="a6">
    <w:name w:val="page number"/>
    <w:basedOn w:val="a1"/>
    <w:qFormat/>
    <w:rsid w:val="000E543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何玲</cp:lastModifiedBy>
  <cp:revision>4</cp:revision>
  <cp:lastPrinted>2021-11-10T06:09:00Z</cp:lastPrinted>
  <dcterms:created xsi:type="dcterms:W3CDTF">2021-11-10T06:07:00Z</dcterms:created>
  <dcterms:modified xsi:type="dcterms:W3CDTF">2024-03-19T06:21:00Z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6366C2B8D1D745208EFA8E57CC83D80E</vt:lpwstr>
  </property>
</Properties>
</file>